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EC4" w:rsidRDefault="003A0EC4" w:rsidP="003A0EC4">
      <w:pPr>
        <w:rPr>
          <w:rFonts w:cstheme="minorHAnsi"/>
          <w:b/>
        </w:rPr>
      </w:pPr>
      <w:r>
        <w:rPr>
          <w:rFonts w:cstheme="minorHAnsi"/>
          <w:b/>
        </w:rPr>
        <w:t xml:space="preserve">Załącznik nr 20 – </w:t>
      </w:r>
      <w:r w:rsidRPr="003A0EC4">
        <w:rPr>
          <w:rFonts w:cstheme="minorHAnsi"/>
          <w:b/>
        </w:rPr>
        <w:t xml:space="preserve">Procedura ustalania i zmiany niebudzących wątpliwości interpretacyjnych kryteriów wyboru </w:t>
      </w:r>
      <w:proofErr w:type="spellStart"/>
      <w:r w:rsidRPr="003A0EC4">
        <w:rPr>
          <w:rFonts w:cstheme="minorHAnsi"/>
          <w:b/>
        </w:rPr>
        <w:t>grantobiorców</w:t>
      </w:r>
      <w:proofErr w:type="spellEnd"/>
      <w:r w:rsidRPr="003A0EC4">
        <w:rPr>
          <w:rFonts w:cstheme="minorHAnsi"/>
          <w:b/>
        </w:rPr>
        <w:t xml:space="preserve"> w ramach projektów grantowych</w:t>
      </w:r>
    </w:p>
    <w:p w:rsidR="003A0EC4" w:rsidRDefault="003A0EC4" w:rsidP="003A0EC4">
      <w:pPr>
        <w:rPr>
          <w:rFonts w:cstheme="minorHAnsi"/>
        </w:rPr>
      </w:pPr>
      <w:r>
        <w:rPr>
          <w:rFonts w:cstheme="minorHAnsi"/>
        </w:rPr>
        <w:t xml:space="preserve">Procedura przeprowadzania konkursów o powierzenie grantów, oceny i wyboru </w:t>
      </w:r>
      <w:proofErr w:type="spellStart"/>
      <w:r>
        <w:rPr>
          <w:rFonts w:cstheme="minorHAnsi"/>
        </w:rPr>
        <w:t>grantobiorców</w:t>
      </w:r>
      <w:proofErr w:type="spellEnd"/>
      <w:r>
        <w:rPr>
          <w:rFonts w:cstheme="minorHAnsi"/>
        </w:rPr>
        <w:t xml:space="preserve"> Stowarzyszenia Lokalna Grupa Działania Partnerstwo Ducha Gór</w:t>
      </w:r>
    </w:p>
    <w:p w:rsidR="003A0EC4" w:rsidRDefault="003A0EC4" w:rsidP="004C69B3">
      <w:pPr>
        <w:spacing w:before="240" w:after="0" w:line="240" w:lineRule="auto"/>
        <w:jc w:val="center"/>
        <w:outlineLvl w:val="0"/>
        <w:rPr>
          <w:rFonts w:ascii="Calibri" w:eastAsia="Times New Roman" w:hAnsi="Calibri" w:cs="Calibri"/>
          <w:b/>
          <w:color w:val="2E75B5"/>
          <w:kern w:val="36"/>
          <w:sz w:val="32"/>
          <w:szCs w:val="32"/>
          <w:lang w:eastAsia="pl-PL"/>
        </w:rPr>
      </w:pPr>
    </w:p>
    <w:p w:rsidR="004C69B3" w:rsidRPr="004C69B3" w:rsidRDefault="004C69B3" w:rsidP="004C69B3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4C69B3">
        <w:rPr>
          <w:rFonts w:ascii="Calibri" w:eastAsia="Times New Roman" w:hAnsi="Calibri" w:cs="Calibri"/>
          <w:b/>
          <w:color w:val="2E75B5"/>
          <w:kern w:val="36"/>
          <w:sz w:val="32"/>
          <w:szCs w:val="32"/>
          <w:lang w:eastAsia="pl-PL"/>
        </w:rPr>
        <w:t xml:space="preserve">Procedura ustalania i zmiany niebudzących wątpliwości interpretacyjnych kryteriów wyboru </w:t>
      </w:r>
      <w:proofErr w:type="spellStart"/>
      <w:r w:rsidRPr="004C69B3">
        <w:rPr>
          <w:rFonts w:ascii="Calibri" w:eastAsia="Times New Roman" w:hAnsi="Calibri" w:cs="Calibri"/>
          <w:b/>
          <w:color w:val="2E75B5"/>
          <w:kern w:val="36"/>
          <w:sz w:val="32"/>
          <w:szCs w:val="32"/>
          <w:lang w:eastAsia="pl-PL"/>
        </w:rPr>
        <w:t>grantobiorców</w:t>
      </w:r>
      <w:proofErr w:type="spellEnd"/>
      <w:r w:rsidRPr="004C69B3">
        <w:rPr>
          <w:rFonts w:ascii="Calibri" w:eastAsia="Times New Roman" w:hAnsi="Calibri" w:cs="Calibri"/>
          <w:b/>
          <w:color w:val="2E75B5"/>
          <w:kern w:val="36"/>
          <w:sz w:val="32"/>
          <w:szCs w:val="32"/>
          <w:lang w:eastAsia="pl-PL"/>
        </w:rPr>
        <w:t xml:space="preserve"> w ramach projektów grantowych</w:t>
      </w:r>
    </w:p>
    <w:p w:rsidR="004C69B3" w:rsidRPr="004C69B3" w:rsidRDefault="004C69B3" w:rsidP="004C69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C69B3" w:rsidRPr="004C69B3" w:rsidRDefault="004C69B3" w:rsidP="004C69B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4C69B3">
        <w:rPr>
          <w:rFonts w:ascii="Calibri" w:eastAsia="Times New Roman" w:hAnsi="Calibri" w:cs="Calibri"/>
          <w:b/>
          <w:color w:val="2E75B5"/>
          <w:sz w:val="26"/>
          <w:szCs w:val="26"/>
          <w:lang w:eastAsia="pl-PL"/>
        </w:rPr>
        <w:t>Zakres procedur</w:t>
      </w:r>
    </w:p>
    <w:p w:rsidR="004C69B3" w:rsidRPr="004C69B3" w:rsidRDefault="00FF6A7B" w:rsidP="004C69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§1</w:t>
      </w:r>
    </w:p>
    <w:p w:rsidR="004C69B3" w:rsidRPr="004C69B3" w:rsidRDefault="004C69B3" w:rsidP="004C69B3">
      <w:pPr>
        <w:numPr>
          <w:ilvl w:val="0"/>
          <w:numId w:val="1"/>
        </w:numPr>
        <w:spacing w:after="0" w:line="240" w:lineRule="auto"/>
        <w:ind w:left="437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4C69B3">
        <w:rPr>
          <w:rFonts w:ascii="Calibri" w:eastAsia="Times New Roman" w:hAnsi="Calibri" w:cs="Calibri"/>
          <w:color w:val="000000"/>
          <w:lang w:eastAsia="pl-PL"/>
        </w:rPr>
        <w:t xml:space="preserve">Procedury obejmują zasady ustalania i zmiany niebudzących  wątpliwości interpretacyjnych kryteriów wyboru </w:t>
      </w:r>
      <w:proofErr w:type="spellStart"/>
      <w:r w:rsidRPr="004C69B3">
        <w:rPr>
          <w:rFonts w:ascii="Calibri" w:eastAsia="Times New Roman" w:hAnsi="Calibri" w:cs="Calibri"/>
          <w:color w:val="000000"/>
          <w:lang w:eastAsia="pl-PL"/>
        </w:rPr>
        <w:t>Grantobiorców</w:t>
      </w:r>
      <w:proofErr w:type="spellEnd"/>
      <w:r w:rsidRPr="004C69B3">
        <w:rPr>
          <w:rFonts w:ascii="Calibri" w:eastAsia="Times New Roman" w:hAnsi="Calibri" w:cs="Calibri"/>
          <w:color w:val="000000"/>
          <w:lang w:eastAsia="pl-PL"/>
        </w:rPr>
        <w:t xml:space="preserve"> w ramach projektów grantowych </w:t>
      </w:r>
    </w:p>
    <w:p w:rsidR="004C69B3" w:rsidRPr="004C69B3" w:rsidRDefault="004C69B3" w:rsidP="004C6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69B3" w:rsidRPr="004C69B3" w:rsidRDefault="004C69B3" w:rsidP="004C69B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4C69B3">
        <w:rPr>
          <w:rFonts w:ascii="Calibri" w:eastAsia="Times New Roman" w:hAnsi="Calibri" w:cs="Calibri"/>
          <w:b/>
          <w:color w:val="2E75B5"/>
          <w:sz w:val="26"/>
          <w:szCs w:val="26"/>
          <w:lang w:eastAsia="pl-PL"/>
        </w:rPr>
        <w:t>Kryteria</w:t>
      </w:r>
    </w:p>
    <w:p w:rsidR="004C69B3" w:rsidRPr="004C69B3" w:rsidRDefault="00FF6A7B" w:rsidP="004C69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§2</w:t>
      </w:r>
    </w:p>
    <w:p w:rsidR="00FF6A7B" w:rsidRDefault="004C69B3" w:rsidP="004C69B3">
      <w:pPr>
        <w:numPr>
          <w:ilvl w:val="0"/>
          <w:numId w:val="2"/>
        </w:numPr>
        <w:spacing w:after="0" w:line="240" w:lineRule="auto"/>
        <w:ind w:left="359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4C69B3">
        <w:rPr>
          <w:rFonts w:ascii="Calibri" w:eastAsia="Times New Roman" w:hAnsi="Calibri" w:cs="Calibri"/>
          <w:color w:val="000000"/>
          <w:lang w:eastAsia="pl-PL"/>
        </w:rPr>
        <w:t xml:space="preserve">LGD </w:t>
      </w:r>
      <w:r w:rsidR="00FF6A7B">
        <w:rPr>
          <w:rFonts w:ascii="Calibri" w:eastAsia="Times New Roman" w:hAnsi="Calibri" w:cs="Calibri"/>
          <w:color w:val="000000"/>
          <w:lang w:eastAsia="pl-PL"/>
        </w:rPr>
        <w:t>tworzy lokalne kryteria wyboru.</w:t>
      </w:r>
    </w:p>
    <w:p w:rsidR="004C69B3" w:rsidRPr="004C69B3" w:rsidRDefault="00FF6A7B" w:rsidP="004C69B3">
      <w:pPr>
        <w:numPr>
          <w:ilvl w:val="0"/>
          <w:numId w:val="2"/>
        </w:numPr>
        <w:spacing w:after="0" w:line="240" w:lineRule="auto"/>
        <w:ind w:left="359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 xml:space="preserve">LGD </w:t>
      </w:r>
      <w:r w:rsidR="004C69B3" w:rsidRPr="004C69B3">
        <w:rPr>
          <w:rFonts w:ascii="Calibri" w:eastAsia="Times New Roman" w:hAnsi="Calibri" w:cs="Calibri"/>
          <w:color w:val="000000"/>
          <w:lang w:eastAsia="pl-PL"/>
        </w:rPr>
        <w:t>dokonuje wyboru operacji spośród operacji, które spełniających warunki o których mowa w art. 21 ust. 1 pkt 1,  zgodnie z ustawą RLKS przy zastosowaniu kryteriów wyboru operacji, które są ustalane przez LGD. </w:t>
      </w:r>
    </w:p>
    <w:p w:rsidR="004C69B3" w:rsidRDefault="004C69B3" w:rsidP="004C69B3">
      <w:pPr>
        <w:numPr>
          <w:ilvl w:val="0"/>
          <w:numId w:val="2"/>
        </w:numPr>
        <w:spacing w:after="0" w:line="240" w:lineRule="auto"/>
        <w:ind w:left="359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4C69B3">
        <w:rPr>
          <w:rFonts w:ascii="Calibri" w:eastAsia="Times New Roman" w:hAnsi="Calibri" w:cs="Calibri"/>
          <w:color w:val="000000"/>
          <w:lang w:eastAsia="pl-PL"/>
        </w:rPr>
        <w:t>LGD stosuje rankingujące kryteria operacji czyli premiujące operacje o określonym charakterze</w:t>
      </w:r>
      <w:r w:rsidR="000C4F07">
        <w:rPr>
          <w:rFonts w:ascii="Calibri" w:eastAsia="Times New Roman" w:hAnsi="Calibri" w:cs="Calibri"/>
          <w:color w:val="000000"/>
          <w:lang w:eastAsia="pl-PL"/>
        </w:rPr>
        <w:t>, których zastosowanie pozwala ustalać kolejność przysługiwania pomocy</w:t>
      </w:r>
      <w:r w:rsidRPr="004C69B3">
        <w:rPr>
          <w:rFonts w:ascii="Calibri" w:eastAsia="Times New Roman" w:hAnsi="Calibri" w:cs="Calibri"/>
          <w:color w:val="000000"/>
          <w:lang w:eastAsia="pl-PL"/>
        </w:rPr>
        <w:t>.</w:t>
      </w:r>
    </w:p>
    <w:p w:rsidR="000C4F07" w:rsidRPr="004C69B3" w:rsidRDefault="000C4F07" w:rsidP="004C69B3">
      <w:pPr>
        <w:numPr>
          <w:ilvl w:val="0"/>
          <w:numId w:val="2"/>
        </w:numPr>
        <w:spacing w:after="0" w:line="240" w:lineRule="auto"/>
        <w:ind w:left="359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LGD może ustalić również kryteria dostępowe, których spełnienie warunkuje udzielenie wsparcia.</w:t>
      </w:r>
    </w:p>
    <w:p w:rsidR="004C69B3" w:rsidRPr="00FF6A7B" w:rsidRDefault="004C69B3" w:rsidP="008E2F1B">
      <w:pPr>
        <w:numPr>
          <w:ilvl w:val="0"/>
          <w:numId w:val="2"/>
        </w:numPr>
        <w:spacing w:after="0" w:line="240" w:lineRule="auto"/>
        <w:ind w:left="35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6A7B">
        <w:rPr>
          <w:rFonts w:ascii="Calibri" w:eastAsia="Times New Roman" w:hAnsi="Calibri" w:cs="Calibri"/>
          <w:color w:val="000000"/>
          <w:lang w:eastAsia="pl-PL"/>
        </w:rPr>
        <w:t xml:space="preserve">LGD ustala minimum punktowe w wysokości </w:t>
      </w:r>
      <w:r w:rsidR="00FF6A7B" w:rsidRPr="00FF6A7B">
        <w:rPr>
          <w:rFonts w:ascii="Calibri" w:eastAsia="Times New Roman" w:hAnsi="Calibri" w:cs="Calibri"/>
          <w:color w:val="000000"/>
          <w:lang w:eastAsia="pl-PL"/>
        </w:rPr>
        <w:t xml:space="preserve">co najmniej </w:t>
      </w:r>
      <w:r w:rsidR="00FF6A7B">
        <w:rPr>
          <w:rFonts w:ascii="Calibri" w:eastAsia="Times New Roman" w:hAnsi="Calibri" w:cs="Calibri"/>
          <w:color w:val="000000"/>
          <w:lang w:eastAsia="pl-PL"/>
        </w:rPr>
        <w:t>25% całkowitej liczby punktów.</w:t>
      </w:r>
    </w:p>
    <w:p w:rsidR="004C69B3" w:rsidRPr="004C69B3" w:rsidRDefault="00FF6A7B" w:rsidP="004C69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§3</w:t>
      </w:r>
    </w:p>
    <w:p w:rsidR="004C69B3" w:rsidRPr="004C69B3" w:rsidRDefault="004C69B3" w:rsidP="004C69B3">
      <w:pPr>
        <w:numPr>
          <w:ilvl w:val="0"/>
          <w:numId w:val="3"/>
        </w:numPr>
        <w:spacing w:after="0" w:line="240" w:lineRule="auto"/>
        <w:ind w:left="359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4C69B3">
        <w:rPr>
          <w:rFonts w:ascii="Calibri" w:eastAsia="Times New Roman" w:hAnsi="Calibri" w:cs="Calibri"/>
          <w:color w:val="000000"/>
          <w:lang w:eastAsia="pl-PL"/>
        </w:rPr>
        <w:t>Projekt kryteriów przygotowywany jest przez grupę roboczą</w:t>
      </w:r>
      <w:r w:rsidR="00FF6A7B">
        <w:rPr>
          <w:rFonts w:ascii="Calibri" w:eastAsia="Times New Roman" w:hAnsi="Calibri" w:cs="Calibri"/>
          <w:color w:val="000000"/>
          <w:lang w:eastAsia="pl-PL"/>
        </w:rPr>
        <w:t>,</w:t>
      </w:r>
      <w:r w:rsidRPr="004C69B3">
        <w:rPr>
          <w:rFonts w:ascii="Calibri" w:eastAsia="Times New Roman" w:hAnsi="Calibri" w:cs="Calibri"/>
          <w:color w:val="000000"/>
          <w:lang w:eastAsia="pl-PL"/>
        </w:rPr>
        <w:t xml:space="preserve"> w skład której wchodzą przedstawiciele Zarządu LGD, Rady LGD oraz Biura LGD.</w:t>
      </w:r>
    </w:p>
    <w:p w:rsidR="004C69B3" w:rsidRPr="004C69B3" w:rsidRDefault="004C69B3" w:rsidP="004C69B3">
      <w:pPr>
        <w:numPr>
          <w:ilvl w:val="0"/>
          <w:numId w:val="3"/>
        </w:numPr>
        <w:spacing w:after="0" w:line="240" w:lineRule="auto"/>
        <w:ind w:left="359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4C69B3">
        <w:rPr>
          <w:rFonts w:ascii="Calibri" w:eastAsia="Times New Roman" w:hAnsi="Calibri" w:cs="Calibri"/>
          <w:color w:val="000000"/>
          <w:lang w:eastAsia="pl-PL"/>
        </w:rPr>
        <w:t>Projekt kryteriów poddany jest konsultacjom społecznym w formie:</w:t>
      </w:r>
    </w:p>
    <w:p w:rsidR="004C69B3" w:rsidRPr="004C69B3" w:rsidRDefault="004C69B3" w:rsidP="004C69B3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4C69B3">
        <w:rPr>
          <w:rFonts w:ascii="Calibri" w:eastAsia="Times New Roman" w:hAnsi="Calibri" w:cs="Calibri"/>
          <w:color w:val="000000"/>
          <w:lang w:eastAsia="pl-PL"/>
        </w:rPr>
        <w:t>zamieszczenia na stronie internetowej LGD;</w:t>
      </w:r>
    </w:p>
    <w:p w:rsidR="004C69B3" w:rsidRPr="004C69B3" w:rsidRDefault="004C69B3" w:rsidP="004C69B3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4C69B3">
        <w:rPr>
          <w:rFonts w:ascii="Calibri" w:eastAsia="Times New Roman" w:hAnsi="Calibri" w:cs="Calibri"/>
          <w:color w:val="000000"/>
          <w:lang w:eastAsia="pl-PL"/>
        </w:rPr>
        <w:t>przeprowadzenia ankiety;</w:t>
      </w:r>
    </w:p>
    <w:p w:rsidR="004C69B3" w:rsidRPr="004C69B3" w:rsidRDefault="004C69B3" w:rsidP="004C69B3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4C69B3">
        <w:rPr>
          <w:rFonts w:ascii="Calibri" w:eastAsia="Times New Roman" w:hAnsi="Calibri" w:cs="Calibri"/>
          <w:color w:val="000000"/>
          <w:lang w:eastAsia="pl-PL"/>
        </w:rPr>
        <w:t>bezpośrednich spotkań z mieszkańcami.</w:t>
      </w:r>
    </w:p>
    <w:p w:rsidR="004C69B3" w:rsidRPr="004C69B3" w:rsidRDefault="004C69B3" w:rsidP="004C69B3">
      <w:pPr>
        <w:numPr>
          <w:ilvl w:val="0"/>
          <w:numId w:val="5"/>
        </w:numPr>
        <w:spacing w:after="0" w:line="240" w:lineRule="auto"/>
        <w:ind w:left="359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4C69B3">
        <w:rPr>
          <w:rFonts w:ascii="Calibri" w:eastAsia="Times New Roman" w:hAnsi="Calibri" w:cs="Calibri"/>
          <w:color w:val="000000"/>
          <w:lang w:eastAsia="pl-PL"/>
        </w:rPr>
        <w:t>Warunek uznaje się za spełniony jeśli zastosowano co najm</w:t>
      </w:r>
      <w:r w:rsidR="00FF6A7B">
        <w:rPr>
          <w:rFonts w:ascii="Calibri" w:eastAsia="Times New Roman" w:hAnsi="Calibri" w:cs="Calibri"/>
          <w:color w:val="000000"/>
          <w:lang w:eastAsia="pl-PL"/>
        </w:rPr>
        <w:t>niej jedną z form opisanych w §3</w:t>
      </w:r>
      <w:r w:rsidRPr="004C69B3">
        <w:rPr>
          <w:rFonts w:ascii="Calibri" w:eastAsia="Times New Roman" w:hAnsi="Calibri" w:cs="Calibri"/>
          <w:color w:val="000000"/>
          <w:lang w:eastAsia="pl-PL"/>
        </w:rPr>
        <w:t xml:space="preserve"> pkt. 2 a) – c) .</w:t>
      </w:r>
    </w:p>
    <w:p w:rsidR="004C69B3" w:rsidRPr="004C69B3" w:rsidRDefault="004C69B3" w:rsidP="004C69B3">
      <w:pPr>
        <w:numPr>
          <w:ilvl w:val="0"/>
          <w:numId w:val="6"/>
        </w:numPr>
        <w:spacing w:after="0" w:line="240" w:lineRule="auto"/>
        <w:ind w:left="359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4C69B3">
        <w:rPr>
          <w:rFonts w:ascii="Calibri" w:eastAsia="Times New Roman" w:hAnsi="Calibri" w:cs="Calibri"/>
          <w:color w:val="000000"/>
          <w:lang w:eastAsia="pl-PL"/>
        </w:rPr>
        <w:t>Zmiana kryteriów wymaga przeprowadzenia k</w:t>
      </w:r>
      <w:r w:rsidR="00FF6A7B">
        <w:rPr>
          <w:rFonts w:ascii="Calibri" w:eastAsia="Times New Roman" w:hAnsi="Calibri" w:cs="Calibri"/>
          <w:color w:val="000000"/>
          <w:lang w:eastAsia="pl-PL"/>
        </w:rPr>
        <w:t>onsultacji społecznych</w:t>
      </w:r>
      <w:r w:rsidRPr="004C69B3">
        <w:rPr>
          <w:rFonts w:ascii="Calibri" w:eastAsia="Times New Roman" w:hAnsi="Calibri" w:cs="Calibri"/>
          <w:color w:val="000000"/>
          <w:lang w:eastAsia="pl-PL"/>
        </w:rPr>
        <w:t>.  </w:t>
      </w:r>
    </w:p>
    <w:p w:rsidR="004C69B3" w:rsidRPr="004C69B3" w:rsidRDefault="004C69B3" w:rsidP="004C6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69B3" w:rsidRPr="004C69B3" w:rsidRDefault="00FF6A7B" w:rsidP="004C69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§4</w:t>
      </w:r>
    </w:p>
    <w:p w:rsidR="004C69B3" w:rsidRPr="004C69B3" w:rsidRDefault="004C69B3" w:rsidP="004C69B3">
      <w:pPr>
        <w:numPr>
          <w:ilvl w:val="0"/>
          <w:numId w:val="7"/>
        </w:numPr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4C69B3">
        <w:rPr>
          <w:rFonts w:ascii="Calibri" w:eastAsia="Times New Roman" w:hAnsi="Calibri" w:cs="Calibri"/>
          <w:color w:val="000000"/>
          <w:lang w:eastAsia="pl-PL"/>
        </w:rPr>
        <w:t>Po uwzględnieniu wyników konsultacji społecznych kryteria zatwierdzane są przez Walne Zebranie Członków LGD.</w:t>
      </w:r>
    </w:p>
    <w:p w:rsidR="004C69B3" w:rsidRPr="004C69B3" w:rsidRDefault="004C69B3" w:rsidP="004C69B3">
      <w:pPr>
        <w:numPr>
          <w:ilvl w:val="0"/>
          <w:numId w:val="7"/>
        </w:numPr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4C69B3">
        <w:rPr>
          <w:rFonts w:ascii="Calibri" w:eastAsia="Times New Roman" w:hAnsi="Calibri" w:cs="Calibri"/>
          <w:color w:val="000000"/>
          <w:lang w:eastAsia="pl-PL"/>
        </w:rPr>
        <w:t xml:space="preserve">Zgodnie z decyzją Walnego Zebrania Członków zmiany procedury </w:t>
      </w:r>
      <w:r w:rsidR="00711DFC">
        <w:rPr>
          <w:rFonts w:ascii="Calibri" w:eastAsia="Times New Roman" w:hAnsi="Calibri" w:cs="Calibri"/>
          <w:color w:val="000000"/>
          <w:lang w:eastAsia="pl-PL"/>
        </w:rPr>
        <w:t xml:space="preserve">mogą być </w:t>
      </w:r>
      <w:r w:rsidRPr="004C69B3">
        <w:rPr>
          <w:rFonts w:ascii="Calibri" w:eastAsia="Times New Roman" w:hAnsi="Calibri" w:cs="Calibri"/>
          <w:color w:val="000000"/>
          <w:lang w:eastAsia="pl-PL"/>
        </w:rPr>
        <w:t xml:space="preserve">zatwierdzane </w:t>
      </w:r>
      <w:r w:rsidR="00711DFC">
        <w:rPr>
          <w:rFonts w:ascii="Calibri" w:eastAsia="Times New Roman" w:hAnsi="Calibri" w:cs="Calibri"/>
          <w:color w:val="000000"/>
          <w:lang w:eastAsia="pl-PL"/>
        </w:rPr>
        <w:t>również</w:t>
      </w:r>
      <w:r w:rsidRPr="004C69B3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711DFC">
        <w:rPr>
          <w:rFonts w:ascii="Calibri" w:eastAsia="Times New Roman" w:hAnsi="Calibri" w:cs="Calibri"/>
          <w:color w:val="000000"/>
          <w:lang w:eastAsia="pl-PL"/>
        </w:rPr>
        <w:t>przez Zarząd</w:t>
      </w:r>
      <w:r w:rsidRPr="004C69B3">
        <w:rPr>
          <w:rFonts w:ascii="Calibri" w:eastAsia="Times New Roman" w:hAnsi="Calibri" w:cs="Calibri"/>
          <w:color w:val="000000"/>
          <w:lang w:eastAsia="pl-PL"/>
        </w:rPr>
        <w:t xml:space="preserve"> LGD.</w:t>
      </w:r>
    </w:p>
    <w:p w:rsidR="004C69B3" w:rsidRDefault="004C69B3" w:rsidP="004C6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11DFC" w:rsidRPr="004C69B3" w:rsidRDefault="00711DFC" w:rsidP="004C6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F6A7B" w:rsidRDefault="00FF6A7B" w:rsidP="004C69B3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pl-PL"/>
        </w:rPr>
      </w:pPr>
    </w:p>
    <w:p w:rsidR="004C69B3" w:rsidRPr="004C69B3" w:rsidRDefault="00FF6A7B" w:rsidP="004C69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§5</w:t>
      </w:r>
    </w:p>
    <w:p w:rsidR="004C69B3" w:rsidRPr="004C69B3" w:rsidRDefault="004C69B3" w:rsidP="004C69B3">
      <w:pPr>
        <w:numPr>
          <w:ilvl w:val="0"/>
          <w:numId w:val="8"/>
        </w:numPr>
        <w:spacing w:after="0" w:line="240" w:lineRule="auto"/>
        <w:ind w:left="426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4C69B3">
        <w:rPr>
          <w:rFonts w:ascii="Calibri" w:eastAsia="Times New Roman" w:hAnsi="Calibri" w:cs="Calibri"/>
          <w:color w:val="000000"/>
          <w:lang w:eastAsia="pl-PL"/>
        </w:rPr>
        <w:t>Procedura zmiany kryteriów wyboru operacji może być uruchomiona w przypadku:</w:t>
      </w:r>
    </w:p>
    <w:p w:rsidR="004C69B3" w:rsidRPr="004C69B3" w:rsidRDefault="004C69B3" w:rsidP="004C69B3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4C69B3">
        <w:rPr>
          <w:rFonts w:ascii="Calibri" w:eastAsia="Times New Roman" w:hAnsi="Calibri" w:cs="Calibri"/>
          <w:color w:val="000000"/>
          <w:lang w:eastAsia="pl-PL"/>
        </w:rPr>
        <w:t>Identyfikacji błędów dotyczących poszczególnych kryteriów</w:t>
      </w:r>
    </w:p>
    <w:p w:rsidR="004C69B3" w:rsidRPr="004C69B3" w:rsidRDefault="004C69B3" w:rsidP="004C69B3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4C69B3">
        <w:rPr>
          <w:rFonts w:ascii="Calibri" w:eastAsia="Times New Roman" w:hAnsi="Calibri" w:cs="Calibri"/>
          <w:color w:val="000000"/>
          <w:lang w:eastAsia="pl-PL"/>
        </w:rPr>
        <w:t>Na wniosek: </w:t>
      </w:r>
    </w:p>
    <w:p w:rsidR="004C69B3" w:rsidRPr="004C69B3" w:rsidRDefault="004C69B3" w:rsidP="004C69B3">
      <w:pPr>
        <w:numPr>
          <w:ilvl w:val="0"/>
          <w:numId w:val="10"/>
        </w:numPr>
        <w:spacing w:after="0" w:line="240" w:lineRule="auto"/>
        <w:ind w:left="1440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4C69B3">
        <w:rPr>
          <w:rFonts w:ascii="Calibri" w:eastAsia="Times New Roman" w:hAnsi="Calibri" w:cs="Calibri"/>
          <w:color w:val="000000"/>
          <w:lang w:eastAsia="pl-PL"/>
        </w:rPr>
        <w:t>Przewodniczącego Rady LGD, </w:t>
      </w:r>
    </w:p>
    <w:p w:rsidR="004C69B3" w:rsidRPr="004C69B3" w:rsidRDefault="004C69B3" w:rsidP="004C69B3">
      <w:pPr>
        <w:numPr>
          <w:ilvl w:val="0"/>
          <w:numId w:val="10"/>
        </w:numPr>
        <w:spacing w:after="0" w:line="240" w:lineRule="auto"/>
        <w:ind w:left="1440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4C69B3">
        <w:rPr>
          <w:rFonts w:ascii="Calibri" w:eastAsia="Times New Roman" w:hAnsi="Calibri" w:cs="Calibri"/>
          <w:color w:val="000000"/>
          <w:lang w:eastAsia="pl-PL"/>
        </w:rPr>
        <w:t>Zarządu po zebraniu informacji z monitoringu LSR,</w:t>
      </w:r>
    </w:p>
    <w:p w:rsidR="004C69B3" w:rsidRPr="004C69B3" w:rsidRDefault="004C69B3" w:rsidP="004C69B3">
      <w:pPr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4C69B3">
        <w:rPr>
          <w:rFonts w:ascii="Calibri" w:eastAsia="Times New Roman" w:hAnsi="Calibri" w:cs="Calibri"/>
          <w:color w:val="000000"/>
          <w:lang w:eastAsia="pl-PL"/>
        </w:rPr>
        <w:t>Na podstawie wniosków lub rekomendacji będących efektem ewaluacji realizacji LSR</w:t>
      </w:r>
    </w:p>
    <w:p w:rsidR="004C69B3" w:rsidRPr="004C69B3" w:rsidRDefault="004C69B3" w:rsidP="004C6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69B3" w:rsidRPr="004C69B3" w:rsidRDefault="00FF6A7B" w:rsidP="004C69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§6</w:t>
      </w:r>
    </w:p>
    <w:p w:rsidR="004C69B3" w:rsidRPr="004C69B3" w:rsidRDefault="004C69B3" w:rsidP="004C69B3">
      <w:pPr>
        <w:numPr>
          <w:ilvl w:val="0"/>
          <w:numId w:val="12"/>
        </w:numPr>
        <w:spacing w:after="0" w:line="240" w:lineRule="auto"/>
        <w:ind w:left="437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4C69B3">
        <w:rPr>
          <w:rFonts w:ascii="Calibri" w:eastAsia="Times New Roman" w:hAnsi="Calibri" w:cs="Calibri"/>
          <w:color w:val="000000"/>
          <w:lang w:eastAsia="pl-PL"/>
        </w:rPr>
        <w:t>Kryteria ustalone przez LGD są:</w:t>
      </w:r>
    </w:p>
    <w:p w:rsidR="004C69B3" w:rsidRPr="004C69B3" w:rsidRDefault="004C69B3" w:rsidP="004C69B3">
      <w:pPr>
        <w:numPr>
          <w:ilvl w:val="0"/>
          <w:numId w:val="13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4C69B3">
        <w:rPr>
          <w:rFonts w:ascii="Calibri" w:eastAsia="Times New Roman" w:hAnsi="Calibri" w:cs="Calibri"/>
          <w:color w:val="000000"/>
          <w:lang w:eastAsia="pl-PL"/>
        </w:rPr>
        <w:t>logicznie powiązane ze stwierdzonymi potrzebami, określonymi celami oraz przyjętymi wskaźnikami produktu i rezultatu zapisanymi w LSR,</w:t>
      </w:r>
    </w:p>
    <w:p w:rsidR="004C69B3" w:rsidRPr="004C69B3" w:rsidRDefault="004C69B3" w:rsidP="004C69B3">
      <w:pPr>
        <w:numPr>
          <w:ilvl w:val="0"/>
          <w:numId w:val="13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4C69B3">
        <w:rPr>
          <w:rFonts w:ascii="Calibri" w:eastAsia="Times New Roman" w:hAnsi="Calibri" w:cs="Calibri"/>
          <w:color w:val="000000"/>
          <w:lang w:eastAsia="pl-PL"/>
        </w:rPr>
        <w:t>pr</w:t>
      </w:r>
      <w:bookmarkStart w:id="0" w:name="_GoBack"/>
      <w:bookmarkEnd w:id="0"/>
      <w:r w:rsidRPr="004C69B3">
        <w:rPr>
          <w:rFonts w:ascii="Calibri" w:eastAsia="Times New Roman" w:hAnsi="Calibri" w:cs="Calibri"/>
          <w:color w:val="000000"/>
          <w:lang w:eastAsia="pl-PL"/>
        </w:rPr>
        <w:t>zejrzyste, obiektywne i niedyskryminujące, </w:t>
      </w:r>
    </w:p>
    <w:p w:rsidR="004C69B3" w:rsidRPr="004C69B3" w:rsidRDefault="004C69B3" w:rsidP="004C69B3">
      <w:pPr>
        <w:numPr>
          <w:ilvl w:val="0"/>
          <w:numId w:val="13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4C69B3">
        <w:rPr>
          <w:rFonts w:ascii="Calibri" w:eastAsia="Times New Roman" w:hAnsi="Calibri" w:cs="Calibri"/>
          <w:color w:val="000000"/>
          <w:lang w:eastAsia="pl-PL"/>
        </w:rPr>
        <w:t>mierzalne oraz powinny posiadać dodatkowe opisy i definicje, pozwalające na ich właściwe zrozumienie i zastosowanie,</w:t>
      </w:r>
    </w:p>
    <w:p w:rsidR="004C69B3" w:rsidRPr="004C69B3" w:rsidRDefault="004C69B3" w:rsidP="004C69B3">
      <w:pPr>
        <w:numPr>
          <w:ilvl w:val="0"/>
          <w:numId w:val="13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4C69B3">
        <w:rPr>
          <w:rFonts w:ascii="Calibri" w:eastAsia="Times New Roman" w:hAnsi="Calibri" w:cs="Calibri"/>
          <w:color w:val="000000"/>
          <w:lang w:eastAsia="pl-PL"/>
        </w:rPr>
        <w:t>dookreślone w zakresie spełniania warunków przyznania określonej liczby punktów.</w:t>
      </w:r>
    </w:p>
    <w:p w:rsidR="004C69B3" w:rsidRPr="004C69B3" w:rsidRDefault="004C69B3" w:rsidP="004C6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69B3" w:rsidRPr="004C69B3" w:rsidRDefault="00FF6A7B" w:rsidP="004C69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§7</w:t>
      </w:r>
    </w:p>
    <w:p w:rsidR="004C69B3" w:rsidRPr="004C69B3" w:rsidRDefault="004C69B3" w:rsidP="004C69B3">
      <w:pPr>
        <w:numPr>
          <w:ilvl w:val="0"/>
          <w:numId w:val="14"/>
        </w:numPr>
        <w:spacing w:after="0" w:line="240" w:lineRule="auto"/>
        <w:ind w:left="437"/>
        <w:jc w:val="both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4C69B3">
        <w:rPr>
          <w:rFonts w:ascii="Calibri" w:eastAsia="Times New Roman" w:hAnsi="Calibri" w:cs="Calibri"/>
          <w:color w:val="000000"/>
          <w:lang w:eastAsia="pl-PL"/>
        </w:rPr>
        <w:t>Kryteria wyboru operacji publikowane są na stronie internetowej LGD.</w:t>
      </w:r>
    </w:p>
    <w:p w:rsidR="004C69B3" w:rsidRPr="004C69B3" w:rsidRDefault="004C69B3" w:rsidP="004C69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2660" w:rsidRDefault="005F2660"/>
    <w:sectPr w:rsidR="005F266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246C" w:rsidRDefault="004F246C" w:rsidP="00543685">
      <w:pPr>
        <w:spacing w:after="0" w:line="240" w:lineRule="auto"/>
      </w:pPr>
      <w:r>
        <w:separator/>
      </w:r>
    </w:p>
  </w:endnote>
  <w:endnote w:type="continuationSeparator" w:id="0">
    <w:p w:rsidR="004F246C" w:rsidRDefault="004F246C" w:rsidP="00543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246C" w:rsidRDefault="004F246C" w:rsidP="00543685">
      <w:pPr>
        <w:spacing w:after="0" w:line="240" w:lineRule="auto"/>
      </w:pPr>
      <w:r>
        <w:separator/>
      </w:r>
    </w:p>
  </w:footnote>
  <w:footnote w:type="continuationSeparator" w:id="0">
    <w:p w:rsidR="004F246C" w:rsidRDefault="004F246C" w:rsidP="00543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685" w:rsidRPr="00543685" w:rsidRDefault="00543685" w:rsidP="00543685">
    <w:pPr>
      <w:spacing w:after="120" w:line="23" w:lineRule="atLeast"/>
      <w:rPr>
        <w:rFonts w:ascii="Calibri" w:eastAsia="Calibri" w:hAnsi="Calibri" w:cs="Calibri"/>
        <w:color w:val="000000"/>
        <w:sz w:val="20"/>
        <w:szCs w:val="20"/>
      </w:rPr>
    </w:pPr>
    <w:r w:rsidRPr="00543685">
      <w:rPr>
        <w:rFonts w:ascii="Calibri" w:eastAsia="Calibri" w:hAnsi="Calibri" w:cs="Times New Roman"/>
        <w:noProof/>
        <w:lang w:eastAsia="pl-PL"/>
      </w:rPr>
      <w:drawing>
        <wp:anchor distT="0" distB="0" distL="114300" distR="114300" simplePos="0" relativeHeight="251660288" behindDoc="1" locked="0" layoutInCell="1" allowOverlap="1" wp14:anchorId="6418EE48" wp14:editId="2B7A1D72">
          <wp:simplePos x="0" y="0"/>
          <wp:positionH relativeFrom="column">
            <wp:posOffset>3706324</wp:posOffset>
          </wp:positionH>
          <wp:positionV relativeFrom="paragraph">
            <wp:posOffset>-142505</wp:posOffset>
          </wp:positionV>
          <wp:extent cx="2634671" cy="842519"/>
          <wp:effectExtent l="0" t="0" r="0" b="0"/>
          <wp:wrapNone/>
          <wp:docPr id="2" name="Obraz 2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9146" cy="84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43685">
      <w:rPr>
        <w:rFonts w:ascii="Calibri" w:eastAsia="Calibri" w:hAnsi="Calibri" w:cstheme="minorHAnsi"/>
        <w:noProof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06C8575D" wp14:editId="4ECC400F">
          <wp:simplePos x="0" y="0"/>
          <wp:positionH relativeFrom="column">
            <wp:posOffset>-142334</wp:posOffset>
          </wp:positionH>
          <wp:positionV relativeFrom="paragraph">
            <wp:posOffset>-223075</wp:posOffset>
          </wp:positionV>
          <wp:extent cx="1860550" cy="999490"/>
          <wp:effectExtent l="0" t="0" r="6350" b="0"/>
          <wp:wrapNone/>
          <wp:docPr id="1" name="Obraz 1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43685">
      <w:rPr>
        <w:rFonts w:ascii="Calibri" w:eastAsia="Calibri" w:hAnsi="Calibri" w:cs="Calibri"/>
        <w:color w:val="000000"/>
        <w:sz w:val="20"/>
        <w:szCs w:val="20"/>
      </w:rPr>
      <w:t xml:space="preserve">                                                                   </w:t>
    </w:r>
    <w:r w:rsidRPr="00543685">
      <w:rPr>
        <w:rFonts w:ascii="Calibri" w:eastAsia="Calibri" w:hAnsi="Calibri" w:cs="Calibri"/>
        <w:noProof/>
        <w:color w:val="000000"/>
        <w:sz w:val="20"/>
        <w:szCs w:val="20"/>
        <w:lang w:eastAsia="pl-PL"/>
      </w:rPr>
      <w:drawing>
        <wp:inline distT="0" distB="0" distL="0" distR="0" wp14:anchorId="0CC25EE9" wp14:editId="17BFD3DC">
          <wp:extent cx="1222034" cy="535219"/>
          <wp:effectExtent l="0" t="0" r="0" b="0"/>
          <wp:docPr id="5" name="Obraz 5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43685" w:rsidRPr="00543685" w:rsidRDefault="00543685" w:rsidP="00543685">
    <w:pPr>
      <w:spacing w:after="120" w:line="23" w:lineRule="atLeast"/>
      <w:jc w:val="center"/>
      <w:rPr>
        <w:rFonts w:ascii="Calibri" w:eastAsia="Calibri" w:hAnsi="Calibri" w:cs="Calibri"/>
        <w:color w:val="000000"/>
        <w:sz w:val="20"/>
        <w:szCs w:val="20"/>
      </w:rPr>
    </w:pPr>
  </w:p>
  <w:p w:rsidR="00543685" w:rsidRDefault="00543685" w:rsidP="00543685">
    <w:pPr>
      <w:spacing w:after="120" w:line="23" w:lineRule="atLeast"/>
      <w:jc w:val="center"/>
      <w:rPr>
        <w:rFonts w:ascii="Calibri" w:eastAsia="Calibri" w:hAnsi="Calibri" w:cs="Calibri"/>
        <w:color w:val="000000"/>
        <w:sz w:val="20"/>
        <w:szCs w:val="20"/>
      </w:rPr>
    </w:pPr>
    <w:r w:rsidRPr="00543685">
      <w:rPr>
        <w:rFonts w:ascii="Calibri" w:eastAsia="Calibri" w:hAnsi="Calibri" w:cs="Calibri"/>
        <w:color w:val="000000"/>
        <w:sz w:val="20"/>
        <w:szCs w:val="20"/>
      </w:rPr>
      <w:t>Wsparcie na wdrażanie i zarządzanie strategią rozwoju lokalnego kierowanego przez społeczność dofinansowane ze środków Unii Europejskiej w ramach EFRROW</w:t>
    </w:r>
  </w:p>
  <w:p w:rsidR="00543685" w:rsidRPr="00543685" w:rsidRDefault="00543685" w:rsidP="00543685">
    <w:pPr>
      <w:spacing w:after="120" w:line="23" w:lineRule="atLeast"/>
      <w:jc w:val="center"/>
      <w:rPr>
        <w:rFonts w:ascii="Calibri" w:eastAsia="Calibri" w:hAnsi="Calibri" w:cs="Calibri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B6F17"/>
    <w:multiLevelType w:val="hybridMultilevel"/>
    <w:tmpl w:val="3C469B10"/>
    <w:lvl w:ilvl="0" w:tplc="4B8A726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A581E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6239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3EA8F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2A7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F894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8E85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0863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94FB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82512D"/>
    <w:multiLevelType w:val="multilevel"/>
    <w:tmpl w:val="C81A0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4321BA"/>
    <w:multiLevelType w:val="multilevel"/>
    <w:tmpl w:val="4B4AE2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23019D"/>
    <w:multiLevelType w:val="multilevel"/>
    <w:tmpl w:val="18920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E11E3E"/>
    <w:multiLevelType w:val="multilevel"/>
    <w:tmpl w:val="E62EE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CF0552"/>
    <w:multiLevelType w:val="multilevel"/>
    <w:tmpl w:val="A60CC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42443F"/>
    <w:multiLevelType w:val="multilevel"/>
    <w:tmpl w:val="E17A8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40506D"/>
    <w:multiLevelType w:val="multilevel"/>
    <w:tmpl w:val="3CD28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B6685C"/>
    <w:multiLevelType w:val="multilevel"/>
    <w:tmpl w:val="A8123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275C35"/>
    <w:multiLevelType w:val="multilevel"/>
    <w:tmpl w:val="7494C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497FD4"/>
    <w:multiLevelType w:val="multilevel"/>
    <w:tmpl w:val="5AF27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D16F6B"/>
    <w:multiLevelType w:val="multilevel"/>
    <w:tmpl w:val="7C264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434FCA"/>
    <w:multiLevelType w:val="multilevel"/>
    <w:tmpl w:val="8CB81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6"/>
  </w:num>
  <w:num w:numId="3">
    <w:abstractNumId w:val="9"/>
  </w:num>
  <w:num w:numId="4">
    <w:abstractNumId w:val="1"/>
    <w:lvlOverride w:ilvl="0">
      <w:lvl w:ilvl="0">
        <w:numFmt w:val="lowerLetter"/>
        <w:lvlText w:val="%1."/>
        <w:lvlJc w:val="left"/>
      </w:lvl>
    </w:lvlOverride>
  </w:num>
  <w:num w:numId="5">
    <w:abstractNumId w:val="2"/>
    <w:lvlOverride w:ilvl="0">
      <w:lvl w:ilvl="0">
        <w:numFmt w:val="decimal"/>
        <w:lvlText w:val="%1."/>
        <w:lvlJc w:val="left"/>
      </w:lvl>
    </w:lvlOverride>
  </w:num>
  <w:num w:numId="6">
    <w:abstractNumId w:val="2"/>
    <w:lvlOverride w:ilvl="0">
      <w:lvl w:ilvl="0">
        <w:numFmt w:val="decimal"/>
        <w:lvlText w:val="%1."/>
        <w:lvlJc w:val="left"/>
      </w:lvl>
    </w:lvlOverride>
  </w:num>
  <w:num w:numId="7">
    <w:abstractNumId w:val="7"/>
  </w:num>
  <w:num w:numId="8">
    <w:abstractNumId w:val="10"/>
  </w:num>
  <w:num w:numId="9">
    <w:abstractNumId w:val="5"/>
    <w:lvlOverride w:ilvl="0">
      <w:lvl w:ilvl="0">
        <w:numFmt w:val="lowerLetter"/>
        <w:lvlText w:val="%1."/>
        <w:lvlJc w:val="left"/>
      </w:lvl>
    </w:lvlOverride>
  </w:num>
  <w:num w:numId="10">
    <w:abstractNumId w:val="11"/>
  </w:num>
  <w:num w:numId="11">
    <w:abstractNumId w:val="0"/>
  </w:num>
  <w:num w:numId="12">
    <w:abstractNumId w:val="4"/>
  </w:num>
  <w:num w:numId="13">
    <w:abstractNumId w:val="3"/>
    <w:lvlOverride w:ilvl="0">
      <w:lvl w:ilvl="0">
        <w:numFmt w:val="lowerLetter"/>
        <w:lvlText w:val="%1."/>
        <w:lvlJc w:val="left"/>
      </w:lvl>
    </w:lvlOverride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4F2"/>
    <w:rsid w:val="000C4F07"/>
    <w:rsid w:val="003A0EC4"/>
    <w:rsid w:val="004704F2"/>
    <w:rsid w:val="004C69B3"/>
    <w:rsid w:val="004F246C"/>
    <w:rsid w:val="00543685"/>
    <w:rsid w:val="005F2660"/>
    <w:rsid w:val="00711DFC"/>
    <w:rsid w:val="007E4679"/>
    <w:rsid w:val="00A050EB"/>
    <w:rsid w:val="00FF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F73948-E083-4808-B03B-293DDB45D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43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3685"/>
  </w:style>
  <w:style w:type="paragraph" w:styleId="Stopka">
    <w:name w:val="footer"/>
    <w:basedOn w:val="Normalny"/>
    <w:link w:val="StopkaZnak"/>
    <w:uiPriority w:val="99"/>
    <w:unhideWhenUsed/>
    <w:rsid w:val="00543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36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9</cp:revision>
  <dcterms:created xsi:type="dcterms:W3CDTF">2024-05-08T07:24:00Z</dcterms:created>
  <dcterms:modified xsi:type="dcterms:W3CDTF">2024-05-08T11:58:00Z</dcterms:modified>
</cp:coreProperties>
</file>